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26C" w:rsidRPr="00D1526C" w:rsidRDefault="00D1526C" w:rsidP="00D1526C">
      <w:pPr>
        <w:keepNext/>
        <w:keepLines/>
        <w:spacing w:after="0" w:line="240" w:lineRule="auto"/>
        <w:outlineLvl w:val="2"/>
        <w:rPr>
          <w:rFonts w:eastAsiaTheme="majorEastAsia" w:cstheme="majorBidi"/>
          <w:b/>
          <w:bCs/>
          <w:sz w:val="24"/>
          <w:szCs w:val="24"/>
          <w:lang w:eastAsia="en-GB"/>
        </w:rPr>
      </w:pPr>
      <w:r w:rsidRPr="00D1526C">
        <w:rPr>
          <w:rFonts w:eastAsiaTheme="majorEastAsia" w:cstheme="majorBidi"/>
          <w:b/>
          <w:bCs/>
          <w:sz w:val="24"/>
          <w:szCs w:val="24"/>
          <w:lang w:eastAsia="en-GB"/>
        </w:rPr>
        <w:t>Local Planning Context</w:t>
      </w:r>
    </w:p>
    <w:p w:rsidR="00D1526C" w:rsidRPr="00D1526C" w:rsidRDefault="00D1526C" w:rsidP="00D1526C">
      <w:pPr>
        <w:tabs>
          <w:tab w:val="left" w:pos="142"/>
        </w:tabs>
        <w:ind w:left="720"/>
        <w:jc w:val="both"/>
        <w:rPr>
          <w:rFonts w:cs="Arial"/>
          <w:sz w:val="24"/>
          <w:szCs w:val="24"/>
        </w:rPr>
      </w:pPr>
      <w:r w:rsidRPr="00D1526C">
        <w:rPr>
          <w:rFonts w:cs="Arial"/>
          <w:sz w:val="24"/>
          <w:szCs w:val="24"/>
        </w:rPr>
        <w:t xml:space="preserve">The statutory planning context for preparation of a neighbourhood Plan is the </w:t>
      </w:r>
      <w:hyperlink r:id="rId5" w:history="1">
        <w:r w:rsidRPr="007946C6">
          <w:rPr>
            <w:rStyle w:val="Hyperlink"/>
            <w:rFonts w:cs="Arial"/>
            <w:sz w:val="24"/>
            <w:szCs w:val="24"/>
          </w:rPr>
          <w:t>C</w:t>
        </w:r>
        <w:r w:rsidRPr="007946C6">
          <w:rPr>
            <w:rStyle w:val="Hyperlink"/>
            <w:rFonts w:cs="Arial"/>
            <w:sz w:val="24"/>
            <w:szCs w:val="24"/>
          </w:rPr>
          <w:t>o</w:t>
        </w:r>
        <w:r w:rsidRPr="007946C6">
          <w:rPr>
            <w:rStyle w:val="Hyperlink"/>
            <w:rFonts w:cs="Arial"/>
            <w:sz w:val="24"/>
            <w:szCs w:val="24"/>
          </w:rPr>
          <w:t>re Strategy</w:t>
        </w:r>
      </w:hyperlink>
      <w:r w:rsidRPr="00D1526C">
        <w:rPr>
          <w:rFonts w:cs="Arial"/>
          <w:color w:val="0000FF" w:themeColor="hyperlink"/>
          <w:sz w:val="24"/>
          <w:szCs w:val="24"/>
          <w:u w:val="single"/>
        </w:rPr>
        <w:t>,</w:t>
      </w:r>
      <w:r w:rsidRPr="00D1526C">
        <w:rPr>
          <w:rFonts w:cs="Arial"/>
          <w:sz w:val="24"/>
          <w:szCs w:val="24"/>
        </w:rPr>
        <w:t xml:space="preserve"> which sets out the broad planning strategy for Rother District up to 2028. The existing RDC evidence base was the starting point for the steering group when gathering information to support our policies.  The following lists the key documents used:</w:t>
      </w:r>
    </w:p>
    <w:p w:rsidR="00D1526C" w:rsidRPr="00D1526C" w:rsidRDefault="00D1526C" w:rsidP="00D1526C">
      <w:pPr>
        <w:numPr>
          <w:ilvl w:val="0"/>
          <w:numId w:val="1"/>
        </w:numPr>
        <w:shd w:val="clear" w:color="auto" w:fill="FFFFFF"/>
        <w:spacing w:after="240" w:line="240" w:lineRule="auto"/>
        <w:contextualSpacing/>
        <w:rPr>
          <w:rFonts w:eastAsia="Times New Roman" w:cs="Arial"/>
          <w:color w:val="000000"/>
          <w:sz w:val="24"/>
          <w:szCs w:val="24"/>
        </w:rPr>
      </w:pPr>
      <w:r w:rsidRPr="00D1526C">
        <w:rPr>
          <w:rFonts w:eastAsia="Times New Roman" w:cs="Arial"/>
          <w:color w:val="000000"/>
          <w:sz w:val="24"/>
          <w:szCs w:val="24"/>
        </w:rPr>
        <w:t xml:space="preserve">The </w:t>
      </w:r>
      <w:hyperlink r:id="rId6" w:history="1">
        <w:r w:rsidRPr="00D1526C">
          <w:rPr>
            <w:rFonts w:eastAsia="Times New Roman" w:cs="Arial"/>
            <w:b/>
            <w:bCs/>
            <w:color w:val="355C7D"/>
            <w:sz w:val="24"/>
            <w:szCs w:val="24"/>
            <w:u w:val="single"/>
          </w:rPr>
          <w:t>Rother in Profile Document</w:t>
        </w:r>
      </w:hyperlink>
      <w:r w:rsidRPr="00D1526C">
        <w:rPr>
          <w:rFonts w:eastAsia="Times New Roman" w:cs="Arial"/>
          <w:color w:val="000000"/>
          <w:sz w:val="24"/>
          <w:szCs w:val="24"/>
        </w:rPr>
        <w:t xml:space="preserve"> identifies the main spatial characteristics of the District, and sets the scene for the consideration of future development and change in Rother.</w:t>
      </w:r>
    </w:p>
    <w:p w:rsidR="00D1526C" w:rsidRPr="00D1526C" w:rsidRDefault="00D1526C" w:rsidP="00D1526C">
      <w:pPr>
        <w:numPr>
          <w:ilvl w:val="0"/>
          <w:numId w:val="1"/>
        </w:numPr>
        <w:shd w:val="clear" w:color="auto" w:fill="FFFFFF"/>
        <w:spacing w:after="240" w:line="240" w:lineRule="auto"/>
        <w:contextualSpacing/>
        <w:rPr>
          <w:rFonts w:eastAsia="Times New Roman" w:cs="Arial"/>
          <w:color w:val="000000"/>
          <w:sz w:val="24"/>
          <w:szCs w:val="24"/>
        </w:rPr>
      </w:pPr>
      <w:r w:rsidRPr="00D1526C">
        <w:rPr>
          <w:rFonts w:eastAsia="Times New Roman" w:cs="Arial"/>
          <w:color w:val="000000"/>
          <w:sz w:val="24"/>
          <w:szCs w:val="24"/>
        </w:rPr>
        <w:t xml:space="preserve">A </w:t>
      </w:r>
      <w:hyperlink r:id="rId7" w:history="1">
        <w:r w:rsidRPr="00D1526C">
          <w:rPr>
            <w:rFonts w:eastAsia="Times New Roman" w:cs="Arial"/>
            <w:b/>
            <w:bCs/>
            <w:color w:val="355C7D"/>
            <w:sz w:val="24"/>
            <w:szCs w:val="24"/>
            <w:u w:val="single"/>
          </w:rPr>
          <w:t>Rural Settlements Study</w:t>
        </w:r>
      </w:hyperlink>
      <w:r w:rsidRPr="00D1526C">
        <w:rPr>
          <w:rFonts w:eastAsia="Times New Roman" w:cs="Arial"/>
          <w:color w:val="000000"/>
          <w:sz w:val="24"/>
          <w:szCs w:val="24"/>
        </w:rPr>
        <w:t xml:space="preserve"> aims to contribute towards the 'Place-Shaping' of individual villages. It has helped inform the Core Strategy by defining villages in terms of their service role, and need/suitability for development.</w:t>
      </w:r>
    </w:p>
    <w:p w:rsidR="00D1526C" w:rsidRPr="00D1526C" w:rsidRDefault="00D1526C" w:rsidP="00D1526C">
      <w:pPr>
        <w:numPr>
          <w:ilvl w:val="0"/>
          <w:numId w:val="1"/>
        </w:numPr>
        <w:shd w:val="clear" w:color="auto" w:fill="FFFFFF"/>
        <w:spacing w:after="240" w:line="240" w:lineRule="auto"/>
        <w:contextualSpacing/>
        <w:rPr>
          <w:rFonts w:eastAsia="Times New Roman" w:cs="Arial"/>
          <w:color w:val="000000"/>
          <w:sz w:val="24"/>
          <w:szCs w:val="24"/>
        </w:rPr>
      </w:pPr>
      <w:r w:rsidRPr="00D1526C">
        <w:rPr>
          <w:rFonts w:eastAsia="Times New Roman" w:cs="Arial"/>
          <w:color w:val="000000"/>
          <w:sz w:val="24"/>
          <w:szCs w:val="24"/>
        </w:rPr>
        <w:t xml:space="preserve">The </w:t>
      </w:r>
      <w:hyperlink r:id="rId8" w:history="1">
        <w:r w:rsidRPr="00D1526C">
          <w:rPr>
            <w:rFonts w:eastAsia="Times New Roman" w:cs="Arial"/>
            <w:b/>
            <w:bCs/>
            <w:color w:val="355C7D"/>
            <w:sz w:val="24"/>
            <w:szCs w:val="24"/>
            <w:u w:val="single"/>
          </w:rPr>
          <w:t>Affordable Housing background paper</w:t>
        </w:r>
      </w:hyperlink>
      <w:r w:rsidRPr="00D1526C">
        <w:rPr>
          <w:rFonts w:eastAsia="Times New Roman" w:cs="Arial"/>
          <w:color w:val="000000"/>
          <w:sz w:val="24"/>
          <w:szCs w:val="24"/>
        </w:rPr>
        <w:t xml:space="preserve"> details the evidence base which supports the affordable housing policies in the Local Housing Needs chapter of the Proposed Submission Core Strategy. It looks at thresholds, percentages and tenures of affordable housing, along with the methodology for affordable housing targets.</w:t>
      </w:r>
    </w:p>
    <w:p w:rsidR="00D1526C" w:rsidRPr="00D1526C" w:rsidRDefault="00D1526C" w:rsidP="00D1526C">
      <w:pPr>
        <w:numPr>
          <w:ilvl w:val="0"/>
          <w:numId w:val="1"/>
        </w:numPr>
        <w:shd w:val="clear" w:color="auto" w:fill="FFFFFF"/>
        <w:spacing w:after="240" w:line="240" w:lineRule="auto"/>
        <w:contextualSpacing/>
        <w:rPr>
          <w:rFonts w:eastAsia="Times New Roman" w:cs="Arial"/>
          <w:color w:val="000000"/>
          <w:sz w:val="24"/>
          <w:szCs w:val="24"/>
        </w:rPr>
      </w:pPr>
      <w:r w:rsidRPr="00D1526C">
        <w:rPr>
          <w:rFonts w:eastAsia="Times New Roman" w:cs="Arial"/>
          <w:color w:val="000000"/>
          <w:sz w:val="24"/>
          <w:szCs w:val="24"/>
        </w:rPr>
        <w:t xml:space="preserve">The </w:t>
      </w:r>
      <w:hyperlink r:id="rId9" w:history="1">
        <w:r w:rsidRPr="00D1526C">
          <w:rPr>
            <w:rFonts w:eastAsia="Times New Roman" w:cs="Arial"/>
            <w:b/>
            <w:bCs/>
            <w:color w:val="355C7D"/>
            <w:sz w:val="24"/>
            <w:szCs w:val="24"/>
            <w:u w:val="single"/>
          </w:rPr>
          <w:t>Rother District Affordable Housing Viability Assessment 2010</w:t>
        </w:r>
      </w:hyperlink>
      <w:r w:rsidRPr="00D1526C">
        <w:rPr>
          <w:rFonts w:eastAsia="Times New Roman" w:cs="Arial"/>
          <w:color w:val="000000"/>
          <w:sz w:val="24"/>
          <w:szCs w:val="24"/>
        </w:rPr>
        <w:t xml:space="preserve"> tests the District Council's proposed affordable housing policies and ensures that they are consistent with securing the delivery of new houses within Rother.</w:t>
      </w:r>
    </w:p>
    <w:p w:rsidR="00D1526C" w:rsidRPr="00D1526C" w:rsidRDefault="00D1526C" w:rsidP="00D1526C">
      <w:pPr>
        <w:numPr>
          <w:ilvl w:val="0"/>
          <w:numId w:val="1"/>
        </w:numPr>
        <w:shd w:val="clear" w:color="auto" w:fill="FFFFFF"/>
        <w:spacing w:after="240" w:line="240" w:lineRule="auto"/>
        <w:contextualSpacing/>
        <w:rPr>
          <w:rFonts w:eastAsia="Times New Roman" w:cs="Arial"/>
          <w:color w:val="000000"/>
          <w:sz w:val="24"/>
          <w:szCs w:val="24"/>
        </w:rPr>
      </w:pPr>
      <w:r w:rsidRPr="00D1526C">
        <w:rPr>
          <w:rFonts w:eastAsia="Times New Roman" w:cs="Arial"/>
          <w:color w:val="000000"/>
          <w:sz w:val="24"/>
          <w:szCs w:val="24"/>
        </w:rPr>
        <w:t xml:space="preserve">The </w:t>
      </w:r>
      <w:hyperlink r:id="rId10" w:history="1">
        <w:r w:rsidRPr="00D1526C">
          <w:rPr>
            <w:rFonts w:eastAsia="Times New Roman" w:cs="Arial"/>
            <w:b/>
            <w:bCs/>
            <w:color w:val="355C7D"/>
            <w:sz w:val="24"/>
            <w:szCs w:val="24"/>
            <w:u w:val="single"/>
          </w:rPr>
          <w:t>Strategic Housing Land Availability Assessment</w:t>
        </w:r>
      </w:hyperlink>
      <w:r w:rsidRPr="00D1526C">
        <w:rPr>
          <w:rFonts w:eastAsia="Times New Roman" w:cs="Arial"/>
          <w:color w:val="000000"/>
          <w:sz w:val="24"/>
          <w:szCs w:val="24"/>
        </w:rPr>
        <w:t xml:space="preserve"> (SHLAA) 2013 identifies sites with housing potential, both those that accord with current planning policy and further ones that would require a change in policies if they are to be pursued.</w:t>
      </w:r>
    </w:p>
    <w:p w:rsidR="00D1526C" w:rsidRPr="00D1526C" w:rsidRDefault="00D1526C" w:rsidP="00D1526C">
      <w:pPr>
        <w:numPr>
          <w:ilvl w:val="0"/>
          <w:numId w:val="1"/>
        </w:numPr>
        <w:shd w:val="clear" w:color="auto" w:fill="FFFFFF"/>
        <w:spacing w:after="240" w:line="240" w:lineRule="auto"/>
        <w:contextualSpacing/>
        <w:rPr>
          <w:rFonts w:eastAsia="Times New Roman" w:cs="Arial"/>
          <w:color w:val="000000"/>
          <w:sz w:val="24"/>
          <w:szCs w:val="24"/>
        </w:rPr>
      </w:pPr>
      <w:r w:rsidRPr="00D1526C">
        <w:rPr>
          <w:rFonts w:eastAsia="Times New Roman" w:cs="Arial"/>
          <w:color w:val="000000"/>
          <w:sz w:val="24"/>
          <w:szCs w:val="24"/>
        </w:rPr>
        <w:t xml:space="preserve">The </w:t>
      </w:r>
      <w:hyperlink r:id="rId11" w:history="1">
        <w:r w:rsidRPr="00D1526C">
          <w:rPr>
            <w:rFonts w:eastAsia="Times New Roman" w:cs="Arial"/>
            <w:b/>
            <w:bCs/>
            <w:color w:val="355C7D"/>
            <w:sz w:val="24"/>
            <w:szCs w:val="24"/>
            <w:u w:val="single"/>
          </w:rPr>
          <w:t>Hastings and Rother Employment Strategy Review</w:t>
        </w:r>
      </w:hyperlink>
      <w:r w:rsidRPr="00D1526C">
        <w:rPr>
          <w:rFonts w:eastAsia="Times New Roman" w:cs="Arial"/>
          <w:color w:val="000000"/>
          <w:sz w:val="24"/>
          <w:szCs w:val="24"/>
        </w:rPr>
        <w:t xml:space="preserve"> (incorporating Employment Land Review) has been prepared jointly with Hastings Borough Council. It provides the evidence base for the development of spatial economic strategies in the Authorities' respective Local Plans. The </w:t>
      </w:r>
      <w:hyperlink r:id="rId12" w:history="1">
        <w:r w:rsidRPr="00D1526C">
          <w:rPr>
            <w:rFonts w:eastAsia="Times New Roman" w:cs="Arial"/>
            <w:b/>
            <w:bCs/>
            <w:color w:val="355C7D"/>
            <w:sz w:val="24"/>
            <w:szCs w:val="24"/>
            <w:u w:val="single"/>
          </w:rPr>
          <w:t>Hastings and Rother Employment Strategy Review Update</w:t>
        </w:r>
      </w:hyperlink>
      <w:r w:rsidRPr="00D1526C">
        <w:rPr>
          <w:rFonts w:eastAsia="Times New Roman" w:cs="Arial"/>
          <w:color w:val="000000"/>
          <w:sz w:val="24"/>
          <w:szCs w:val="24"/>
        </w:rPr>
        <w:t xml:space="preserve"> (incorporating Employment Land Review) has been prepared jointly with Hastings Borough Council.  It updates the evidence base for the development of spatial economic strategies in the Authorities' respective LDFs.</w:t>
      </w:r>
    </w:p>
    <w:p w:rsidR="00D1526C" w:rsidRPr="00D1526C" w:rsidRDefault="00D1526C" w:rsidP="00D1526C">
      <w:pPr>
        <w:numPr>
          <w:ilvl w:val="0"/>
          <w:numId w:val="1"/>
        </w:numPr>
        <w:shd w:val="clear" w:color="auto" w:fill="FFFFFF"/>
        <w:spacing w:after="240" w:line="240" w:lineRule="auto"/>
        <w:contextualSpacing/>
        <w:rPr>
          <w:rFonts w:eastAsia="Times New Roman" w:cs="Arial"/>
          <w:color w:val="000000"/>
          <w:sz w:val="24"/>
          <w:szCs w:val="24"/>
        </w:rPr>
      </w:pPr>
      <w:r w:rsidRPr="00D1526C">
        <w:rPr>
          <w:rFonts w:eastAsia="Times New Roman" w:cs="Arial"/>
          <w:color w:val="000000"/>
          <w:sz w:val="24"/>
          <w:szCs w:val="24"/>
        </w:rPr>
        <w:t xml:space="preserve">An </w:t>
      </w:r>
      <w:hyperlink r:id="rId13" w:history="1">
        <w:r w:rsidRPr="00D1526C">
          <w:rPr>
            <w:rFonts w:eastAsia="Times New Roman" w:cs="Arial"/>
            <w:b/>
            <w:bCs/>
            <w:color w:val="355C7D"/>
            <w:sz w:val="24"/>
            <w:szCs w:val="24"/>
            <w:u w:val="single"/>
          </w:rPr>
          <w:t>'Employment Land Supply and Trajectory April 2012'</w:t>
        </w:r>
      </w:hyperlink>
      <w:r w:rsidRPr="00D1526C">
        <w:rPr>
          <w:rFonts w:eastAsia="Times New Roman" w:cs="Arial"/>
          <w:color w:val="000000"/>
          <w:sz w:val="24"/>
          <w:szCs w:val="24"/>
        </w:rPr>
        <w:t xml:space="preserve"> which indicates the anticipated delivery of employment land proposed in the Core Strategy and the current position on the supply of deliverable sites.</w:t>
      </w:r>
    </w:p>
    <w:p w:rsidR="00D1526C" w:rsidRPr="00D1526C" w:rsidRDefault="00EC7AD7" w:rsidP="00D1526C">
      <w:pPr>
        <w:numPr>
          <w:ilvl w:val="0"/>
          <w:numId w:val="1"/>
        </w:numPr>
        <w:shd w:val="clear" w:color="auto" w:fill="FFFFFF"/>
        <w:spacing w:after="240" w:line="240" w:lineRule="auto"/>
        <w:contextualSpacing/>
        <w:rPr>
          <w:rFonts w:eastAsia="Times New Roman" w:cs="Arial"/>
          <w:b/>
          <w:color w:val="355C7D"/>
          <w:sz w:val="24"/>
          <w:szCs w:val="24"/>
        </w:rPr>
      </w:pPr>
      <w:hyperlink r:id="rId14" w:tgtFrame="_blank" w:tooltip="Review of Employment Land Requirements in Light of Proposed Revised Housing Targets July 2013" w:history="1">
        <w:r w:rsidR="00D1526C" w:rsidRPr="00D1526C">
          <w:rPr>
            <w:rFonts w:eastAsia="Times New Roman" w:cs="Arial"/>
            <w:b/>
            <w:color w:val="355C7D"/>
            <w:sz w:val="24"/>
            <w:szCs w:val="24"/>
            <w:u w:val="single"/>
          </w:rPr>
          <w:t>Review of Employment Land Requirements in Light of Proposed Revised Housing Targets July 2013 [97kb]</w:t>
        </w:r>
      </w:hyperlink>
    </w:p>
    <w:p w:rsidR="00D1526C" w:rsidRPr="00D1526C" w:rsidRDefault="00D1526C" w:rsidP="00D1526C">
      <w:pPr>
        <w:numPr>
          <w:ilvl w:val="0"/>
          <w:numId w:val="1"/>
        </w:numPr>
        <w:shd w:val="clear" w:color="auto" w:fill="FFFFFF"/>
        <w:spacing w:after="240" w:line="240" w:lineRule="auto"/>
        <w:contextualSpacing/>
        <w:rPr>
          <w:rFonts w:eastAsia="Times New Roman" w:cs="Arial"/>
          <w:color w:val="000000"/>
          <w:sz w:val="24"/>
          <w:szCs w:val="24"/>
        </w:rPr>
      </w:pPr>
      <w:r w:rsidRPr="00D1526C">
        <w:rPr>
          <w:rFonts w:eastAsia="Times New Roman" w:cs="Arial"/>
          <w:color w:val="000000"/>
          <w:sz w:val="24"/>
          <w:szCs w:val="24"/>
        </w:rPr>
        <w:t xml:space="preserve">An </w:t>
      </w:r>
      <w:hyperlink r:id="rId15" w:history="1">
        <w:r w:rsidRPr="00D1526C">
          <w:rPr>
            <w:rFonts w:eastAsia="Times New Roman" w:cs="Arial"/>
            <w:b/>
            <w:bCs/>
            <w:color w:val="355C7D"/>
            <w:sz w:val="24"/>
            <w:szCs w:val="24"/>
            <w:u w:val="single"/>
          </w:rPr>
          <w:t>Open Space, Sport and Recreation Audit and Assessment</w:t>
        </w:r>
      </w:hyperlink>
      <w:r w:rsidRPr="00D1526C">
        <w:rPr>
          <w:rFonts w:eastAsia="Times New Roman" w:cs="Arial"/>
          <w:color w:val="000000"/>
          <w:sz w:val="24"/>
          <w:szCs w:val="24"/>
        </w:rPr>
        <w:t xml:space="preserve">  </w:t>
      </w:r>
      <w:proofErr w:type="gramStart"/>
      <w:r w:rsidRPr="00D1526C">
        <w:rPr>
          <w:rFonts w:eastAsia="Times New Roman" w:cs="Arial"/>
          <w:color w:val="000000"/>
          <w:sz w:val="24"/>
          <w:szCs w:val="24"/>
        </w:rPr>
        <w:t>has</w:t>
      </w:r>
      <w:proofErr w:type="gramEnd"/>
      <w:r w:rsidRPr="00D1526C">
        <w:rPr>
          <w:rFonts w:eastAsia="Times New Roman" w:cs="Arial"/>
          <w:color w:val="000000"/>
          <w:sz w:val="24"/>
          <w:szCs w:val="24"/>
        </w:rPr>
        <w:t xml:space="preserve"> been completed with the assistance of PMP consultants and in accordance with national planning guidance (PPG17).</w:t>
      </w:r>
    </w:p>
    <w:p w:rsidR="00D1526C" w:rsidRPr="00D1526C" w:rsidRDefault="00EC7AD7" w:rsidP="00D1526C">
      <w:pPr>
        <w:numPr>
          <w:ilvl w:val="0"/>
          <w:numId w:val="1"/>
        </w:numPr>
        <w:shd w:val="clear" w:color="auto" w:fill="FFFFFF"/>
        <w:spacing w:after="240" w:line="240" w:lineRule="auto"/>
        <w:contextualSpacing/>
        <w:rPr>
          <w:rFonts w:eastAsia="Times New Roman" w:cs="Arial"/>
          <w:color w:val="000000"/>
          <w:sz w:val="24"/>
          <w:szCs w:val="24"/>
        </w:rPr>
      </w:pPr>
      <w:hyperlink r:id="rId16" w:history="1">
        <w:r w:rsidR="00D1526C" w:rsidRPr="00D1526C">
          <w:rPr>
            <w:rFonts w:eastAsia="Times New Roman" w:cs="Arial"/>
            <w:b/>
            <w:bCs/>
            <w:color w:val="355C7D"/>
            <w:sz w:val="24"/>
            <w:szCs w:val="24"/>
            <w:u w:val="single"/>
          </w:rPr>
          <w:t>Hastings and Rother - Leisure Facilities Strategy (2009-2020)</w:t>
        </w:r>
      </w:hyperlink>
      <w:r w:rsidR="00D1526C" w:rsidRPr="00D1526C">
        <w:rPr>
          <w:rFonts w:eastAsia="Times New Roman" w:cs="Arial"/>
          <w:color w:val="000000"/>
          <w:sz w:val="24"/>
          <w:szCs w:val="24"/>
        </w:rPr>
        <w:t xml:space="preserve"> was prepared by Capita Symonds for Rother District Council and Hastings Borough Council. The final report, dated August 2009, has been adopted by the Councils.</w:t>
      </w:r>
    </w:p>
    <w:p w:rsidR="00D1526C" w:rsidRPr="00D1526C" w:rsidRDefault="00D1526C" w:rsidP="00D1526C">
      <w:pPr>
        <w:numPr>
          <w:ilvl w:val="0"/>
          <w:numId w:val="1"/>
        </w:numPr>
        <w:shd w:val="clear" w:color="auto" w:fill="FFFFFF"/>
        <w:spacing w:after="240" w:line="240" w:lineRule="auto"/>
        <w:contextualSpacing/>
        <w:rPr>
          <w:rFonts w:eastAsia="Times New Roman" w:cs="Arial"/>
          <w:color w:val="000000"/>
          <w:sz w:val="24"/>
          <w:szCs w:val="24"/>
        </w:rPr>
      </w:pPr>
      <w:r w:rsidRPr="00D1526C">
        <w:rPr>
          <w:rFonts w:eastAsia="Times New Roman" w:cs="Arial"/>
          <w:color w:val="000000"/>
          <w:sz w:val="24"/>
          <w:szCs w:val="24"/>
        </w:rPr>
        <w:t xml:space="preserve">The </w:t>
      </w:r>
      <w:r w:rsidRPr="00D1526C">
        <w:rPr>
          <w:rFonts w:eastAsia="Times New Roman" w:cs="Arial"/>
          <w:b/>
          <w:bCs/>
          <w:color w:val="000000"/>
          <w:sz w:val="24"/>
          <w:szCs w:val="24"/>
        </w:rPr>
        <w:t>Green Infrastructure Study</w:t>
      </w:r>
      <w:r w:rsidRPr="00D1526C">
        <w:rPr>
          <w:rFonts w:eastAsia="Times New Roman" w:cs="Arial"/>
          <w:color w:val="000000"/>
          <w:sz w:val="24"/>
          <w:szCs w:val="24"/>
        </w:rPr>
        <w:t xml:space="preserve"> is a background evidence study for the Local Plan (2011-2028). Its purpose is to draw on relevant sources to identify spaces that contribute to green infrastructure in the district and to identify potential </w:t>
      </w:r>
      <w:r w:rsidRPr="00D1526C">
        <w:rPr>
          <w:rFonts w:eastAsia="Times New Roman" w:cs="Arial"/>
          <w:color w:val="000000"/>
          <w:sz w:val="24"/>
          <w:szCs w:val="24"/>
        </w:rPr>
        <w:lastRenderedPageBreak/>
        <w:t>opportunities for future green infrastructure provision.</w:t>
      </w:r>
      <w:r w:rsidRPr="00D1526C">
        <w:rPr>
          <w:noProof/>
          <w:sz w:val="24"/>
          <w:szCs w:val="24"/>
          <w:lang w:eastAsia="en-GB"/>
        </w:rPr>
        <w:drawing>
          <wp:inline distT="0" distB="0" distL="0" distR="0">
            <wp:extent cx="152400" cy="152400"/>
            <wp:effectExtent l="0" t="0" r="0" b="0"/>
            <wp:docPr id="1" name="Picture 697" descr="pdf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df icon"/>
                    <pic:cNvPicPr>
                      <a:picLocks noChangeAspect="1" noChangeArrowheads="1"/>
                    </pic:cNvPicPr>
                  </pic:nvPicPr>
                  <pic:blipFill>
                    <a:blip r:embed="rId17"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1526C">
        <w:rPr>
          <w:rFonts w:eastAsia="Times New Roman" w:cs="Arial"/>
          <w:color w:val="000000"/>
          <w:sz w:val="24"/>
          <w:szCs w:val="24"/>
        </w:rPr>
        <w:t> </w:t>
      </w:r>
      <w:hyperlink r:id="rId18" w:tgtFrame="_blank" w:tooltip="Green Infrastructure Study" w:history="1">
        <w:r w:rsidRPr="00D1526C">
          <w:rPr>
            <w:rFonts w:eastAsia="Times New Roman" w:cs="Arial"/>
            <w:color w:val="355C7D"/>
            <w:sz w:val="24"/>
            <w:szCs w:val="24"/>
            <w:u w:val="single"/>
          </w:rPr>
          <w:t>Green Infrastructure Study [3Mb]</w:t>
        </w:r>
      </w:hyperlink>
    </w:p>
    <w:p w:rsidR="00D1526C" w:rsidRPr="00D1526C" w:rsidRDefault="00EC7AD7" w:rsidP="00D1526C">
      <w:pPr>
        <w:numPr>
          <w:ilvl w:val="0"/>
          <w:numId w:val="1"/>
        </w:numPr>
        <w:shd w:val="clear" w:color="auto" w:fill="FFFFFF"/>
        <w:spacing w:after="240" w:line="240" w:lineRule="auto"/>
        <w:contextualSpacing/>
        <w:rPr>
          <w:rFonts w:eastAsia="Times New Roman" w:cs="Arial"/>
          <w:color w:val="000000"/>
          <w:sz w:val="24"/>
          <w:szCs w:val="24"/>
        </w:rPr>
      </w:pPr>
      <w:hyperlink r:id="rId19" w:history="1">
        <w:r w:rsidR="00D1526C" w:rsidRPr="00D1526C">
          <w:rPr>
            <w:rFonts w:eastAsia="Times New Roman" w:cs="Arial"/>
            <w:b/>
            <w:bCs/>
            <w:color w:val="355C7D"/>
            <w:sz w:val="24"/>
            <w:szCs w:val="24"/>
            <w:u w:val="single"/>
          </w:rPr>
          <w:t>Habitat Regulations Assessment (HRA)</w:t>
        </w:r>
      </w:hyperlink>
      <w:r w:rsidR="00D1526C" w:rsidRPr="00D1526C">
        <w:rPr>
          <w:rFonts w:eastAsia="Times New Roman" w:cs="Arial"/>
          <w:color w:val="000000"/>
          <w:sz w:val="24"/>
          <w:szCs w:val="24"/>
        </w:rPr>
        <w:t xml:space="preserve"> - The purpose of a HRA is to assess the impacts of a land-use plan, in combination with the effects of other plans and projects, against the conservation objectives of a European nature conservation site, also known as the </w:t>
      </w:r>
      <w:proofErr w:type="spellStart"/>
      <w:r w:rsidR="00D1526C" w:rsidRPr="00D1526C">
        <w:rPr>
          <w:rFonts w:eastAsia="Times New Roman" w:cs="Arial"/>
          <w:color w:val="000000"/>
          <w:sz w:val="24"/>
          <w:szCs w:val="24"/>
        </w:rPr>
        <w:t>Natura</w:t>
      </w:r>
      <w:proofErr w:type="spellEnd"/>
      <w:r w:rsidR="00D1526C" w:rsidRPr="00D1526C">
        <w:rPr>
          <w:rFonts w:eastAsia="Times New Roman" w:cs="Arial"/>
          <w:color w:val="000000"/>
          <w:sz w:val="24"/>
          <w:szCs w:val="24"/>
        </w:rPr>
        <w:t xml:space="preserve"> 2000 network; and to ascertain whether that plan would adversely affect the protection or integrity of such a site.</w:t>
      </w:r>
    </w:p>
    <w:p w:rsidR="00D1526C" w:rsidRPr="00D1526C" w:rsidRDefault="00EC7AD7" w:rsidP="00D1526C">
      <w:pPr>
        <w:numPr>
          <w:ilvl w:val="0"/>
          <w:numId w:val="1"/>
        </w:numPr>
        <w:shd w:val="clear" w:color="auto" w:fill="FFFFFF"/>
        <w:spacing w:after="240" w:line="240" w:lineRule="auto"/>
        <w:contextualSpacing/>
        <w:rPr>
          <w:rFonts w:eastAsia="Times New Roman" w:cs="Arial"/>
          <w:color w:val="000000"/>
          <w:sz w:val="24"/>
          <w:szCs w:val="24"/>
        </w:rPr>
      </w:pPr>
      <w:hyperlink r:id="rId20" w:history="1">
        <w:r w:rsidR="00D1526C" w:rsidRPr="00D1526C">
          <w:rPr>
            <w:rFonts w:eastAsia="Times New Roman" w:cs="Arial"/>
            <w:b/>
            <w:bCs/>
            <w:color w:val="355C7D"/>
            <w:sz w:val="24"/>
            <w:szCs w:val="24"/>
            <w:u w:val="single"/>
          </w:rPr>
          <w:t>Landscape Assessments</w:t>
        </w:r>
      </w:hyperlink>
      <w:r w:rsidR="00D1526C" w:rsidRPr="00D1526C">
        <w:rPr>
          <w:rFonts w:eastAsia="Times New Roman" w:cs="Arial"/>
          <w:color w:val="000000"/>
          <w:sz w:val="24"/>
          <w:szCs w:val="24"/>
        </w:rPr>
        <w:t xml:space="preserve"> have been carried out for strategic development areas around Bexhill and the Hastings Fringes and for the Market Towns and Villages in order to assist consideration of the development strategy.</w:t>
      </w:r>
    </w:p>
    <w:p w:rsidR="00D1526C" w:rsidRPr="00D1526C" w:rsidRDefault="00D1526C" w:rsidP="00D1526C">
      <w:pPr>
        <w:numPr>
          <w:ilvl w:val="0"/>
          <w:numId w:val="1"/>
        </w:numPr>
        <w:shd w:val="clear" w:color="auto" w:fill="FFFFFF"/>
        <w:spacing w:after="240" w:line="240" w:lineRule="auto"/>
        <w:contextualSpacing/>
        <w:rPr>
          <w:rFonts w:eastAsia="Times New Roman" w:cs="Arial"/>
          <w:color w:val="000000"/>
          <w:sz w:val="24"/>
          <w:szCs w:val="24"/>
        </w:rPr>
      </w:pPr>
      <w:r w:rsidRPr="00D1526C">
        <w:rPr>
          <w:rFonts w:eastAsia="Times New Roman" w:cs="Arial"/>
          <w:color w:val="000000"/>
          <w:sz w:val="24"/>
          <w:szCs w:val="24"/>
        </w:rPr>
        <w:t xml:space="preserve">A </w:t>
      </w:r>
      <w:hyperlink r:id="rId21" w:history="1">
        <w:r w:rsidRPr="00D1526C">
          <w:rPr>
            <w:rFonts w:eastAsia="Times New Roman" w:cs="Arial"/>
            <w:b/>
            <w:bCs/>
            <w:color w:val="355C7D"/>
            <w:sz w:val="24"/>
            <w:szCs w:val="24"/>
            <w:u w:val="single"/>
          </w:rPr>
          <w:t>'Low Carbon and Renewable Potential Study'</w:t>
        </w:r>
      </w:hyperlink>
      <w:r w:rsidRPr="00D1526C">
        <w:rPr>
          <w:rFonts w:eastAsia="Times New Roman" w:cs="Arial"/>
          <w:color w:val="000000"/>
          <w:sz w:val="24"/>
          <w:szCs w:val="24"/>
        </w:rPr>
        <w:t xml:space="preserve"> has been prepared for the Council by Scott Wilson in association with Drivers Jonas and </w:t>
      </w:r>
      <w:proofErr w:type="spellStart"/>
      <w:r w:rsidRPr="00D1526C">
        <w:rPr>
          <w:rFonts w:eastAsia="Times New Roman" w:cs="Arial"/>
          <w:color w:val="000000"/>
          <w:sz w:val="24"/>
          <w:szCs w:val="24"/>
        </w:rPr>
        <w:t>Thameswey</w:t>
      </w:r>
      <w:proofErr w:type="spellEnd"/>
      <w:r w:rsidRPr="00D1526C">
        <w:rPr>
          <w:rFonts w:eastAsia="Times New Roman" w:cs="Arial"/>
          <w:color w:val="000000"/>
          <w:sz w:val="24"/>
          <w:szCs w:val="24"/>
        </w:rPr>
        <w:t xml:space="preserve"> Energy to help in the development of policies for a low-carbon future.</w:t>
      </w:r>
    </w:p>
    <w:p w:rsidR="00D1526C" w:rsidRPr="00D1526C" w:rsidRDefault="00D1526C" w:rsidP="00D1526C">
      <w:pPr>
        <w:numPr>
          <w:ilvl w:val="0"/>
          <w:numId w:val="1"/>
        </w:numPr>
        <w:shd w:val="clear" w:color="auto" w:fill="FFFFFF"/>
        <w:spacing w:after="240" w:line="240" w:lineRule="auto"/>
        <w:contextualSpacing/>
        <w:rPr>
          <w:rFonts w:eastAsia="Times New Roman" w:cs="Arial"/>
          <w:color w:val="000000"/>
          <w:sz w:val="24"/>
          <w:szCs w:val="24"/>
        </w:rPr>
      </w:pPr>
      <w:r w:rsidRPr="00D1526C">
        <w:rPr>
          <w:rFonts w:eastAsia="Times New Roman" w:cs="Arial"/>
          <w:color w:val="000000"/>
          <w:sz w:val="24"/>
          <w:szCs w:val="24"/>
        </w:rPr>
        <w:t xml:space="preserve">A </w:t>
      </w:r>
      <w:hyperlink r:id="rId22" w:history="1">
        <w:r w:rsidRPr="00D1526C">
          <w:rPr>
            <w:rFonts w:eastAsia="Times New Roman" w:cs="Arial"/>
            <w:b/>
            <w:bCs/>
            <w:color w:val="355C7D"/>
            <w:sz w:val="24"/>
            <w:szCs w:val="24"/>
            <w:u w:val="single"/>
          </w:rPr>
          <w:t>Strategic Flood Risk Assessment</w:t>
        </w:r>
      </w:hyperlink>
      <w:r w:rsidRPr="00D1526C">
        <w:rPr>
          <w:rFonts w:eastAsia="Times New Roman" w:cs="Arial"/>
          <w:color w:val="000000"/>
          <w:sz w:val="24"/>
          <w:szCs w:val="24"/>
        </w:rPr>
        <w:t xml:space="preserve"> has been prepared by the council, together with its consultants, Scott Wilson and in consultation with the Environment Agency.</w:t>
      </w:r>
    </w:p>
    <w:p w:rsidR="00D1526C" w:rsidRPr="00D1526C" w:rsidRDefault="00EC7AD7" w:rsidP="00D1526C">
      <w:pPr>
        <w:numPr>
          <w:ilvl w:val="0"/>
          <w:numId w:val="1"/>
        </w:numPr>
        <w:shd w:val="clear" w:color="auto" w:fill="FFFFFF"/>
        <w:spacing w:after="240" w:line="240" w:lineRule="auto"/>
        <w:contextualSpacing/>
        <w:rPr>
          <w:rFonts w:eastAsia="Times New Roman" w:cs="Arial"/>
          <w:color w:val="000000"/>
          <w:sz w:val="24"/>
          <w:szCs w:val="24"/>
        </w:rPr>
      </w:pPr>
      <w:hyperlink r:id="rId23" w:history="1">
        <w:r w:rsidR="00D1526C" w:rsidRPr="00D1526C">
          <w:rPr>
            <w:rFonts w:eastAsia="Times New Roman" w:cs="Arial"/>
            <w:b/>
            <w:bCs/>
            <w:color w:val="355C7D"/>
            <w:sz w:val="24"/>
            <w:szCs w:val="24"/>
            <w:u w:val="single"/>
          </w:rPr>
          <w:t>'Water, People, Places'</w:t>
        </w:r>
      </w:hyperlink>
      <w:r w:rsidR="00D1526C" w:rsidRPr="00D1526C">
        <w:rPr>
          <w:rFonts w:eastAsia="Times New Roman" w:cs="Arial"/>
          <w:color w:val="000000"/>
          <w:sz w:val="24"/>
          <w:szCs w:val="24"/>
        </w:rPr>
        <w:t xml:space="preserve"> is a sustainable drainage systems (</w:t>
      </w:r>
      <w:proofErr w:type="spellStart"/>
      <w:r w:rsidR="00D1526C" w:rsidRPr="00D1526C">
        <w:rPr>
          <w:rFonts w:eastAsia="Times New Roman" w:cs="Arial"/>
          <w:color w:val="000000"/>
          <w:sz w:val="24"/>
          <w:szCs w:val="24"/>
        </w:rPr>
        <w:t>SuDS</w:t>
      </w:r>
      <w:proofErr w:type="spellEnd"/>
      <w:r w:rsidR="00D1526C" w:rsidRPr="00D1526C">
        <w:rPr>
          <w:rFonts w:eastAsia="Times New Roman" w:cs="Arial"/>
          <w:color w:val="000000"/>
          <w:sz w:val="24"/>
          <w:szCs w:val="24"/>
        </w:rPr>
        <w:t>) guide developed for the South East 7 (SE7) authorities, which includes East Sussex County Council. This guidance outlines the process for integrating sustainable drainage systems (</w:t>
      </w:r>
      <w:proofErr w:type="spellStart"/>
      <w:r w:rsidR="00D1526C" w:rsidRPr="00D1526C">
        <w:rPr>
          <w:rFonts w:eastAsia="Times New Roman" w:cs="Arial"/>
          <w:color w:val="000000"/>
          <w:sz w:val="24"/>
          <w:szCs w:val="24"/>
        </w:rPr>
        <w:t>SuDS</w:t>
      </w:r>
      <w:proofErr w:type="spellEnd"/>
      <w:r w:rsidR="00D1526C" w:rsidRPr="00D1526C">
        <w:rPr>
          <w:rFonts w:eastAsia="Times New Roman" w:cs="Arial"/>
          <w:color w:val="000000"/>
          <w:sz w:val="24"/>
          <w:szCs w:val="24"/>
        </w:rPr>
        <w:t>) into the master planning of large and small developments. This guidance should be used by developers and planners and other practitioners involved in the planning and design of the built environment in the South East of England.</w:t>
      </w:r>
    </w:p>
    <w:p w:rsidR="00D1526C" w:rsidRPr="00D1526C" w:rsidRDefault="00D1526C" w:rsidP="00D1526C">
      <w:pPr>
        <w:numPr>
          <w:ilvl w:val="0"/>
          <w:numId w:val="1"/>
        </w:numPr>
        <w:spacing w:after="0" w:line="240" w:lineRule="auto"/>
        <w:contextualSpacing/>
        <w:rPr>
          <w:sz w:val="24"/>
          <w:szCs w:val="24"/>
        </w:rPr>
      </w:pPr>
      <w:r w:rsidRPr="00D1526C">
        <w:rPr>
          <w:rFonts w:eastAsia="Times New Roman" w:cs="Arial"/>
          <w:color w:val="000000"/>
          <w:sz w:val="24"/>
          <w:szCs w:val="24"/>
        </w:rPr>
        <w:t xml:space="preserve">The </w:t>
      </w:r>
      <w:hyperlink r:id="rId24" w:history="1">
        <w:r w:rsidRPr="00D1526C">
          <w:rPr>
            <w:rFonts w:eastAsia="Times New Roman" w:cs="Arial"/>
            <w:b/>
            <w:bCs/>
            <w:color w:val="355C7D"/>
            <w:sz w:val="24"/>
            <w:szCs w:val="24"/>
            <w:u w:val="single"/>
          </w:rPr>
          <w:t>Infrastructure Delivery Plan (IDP)</w:t>
        </w:r>
      </w:hyperlink>
      <w:r w:rsidRPr="00D1526C">
        <w:rPr>
          <w:rFonts w:eastAsia="Times New Roman" w:cs="Arial"/>
          <w:b/>
          <w:bCs/>
          <w:color w:val="000000"/>
          <w:sz w:val="24"/>
          <w:szCs w:val="24"/>
        </w:rPr>
        <w:t xml:space="preserve"> (July 2012)</w:t>
      </w:r>
      <w:r w:rsidRPr="00D1526C">
        <w:rPr>
          <w:rFonts w:eastAsia="Times New Roman" w:cs="Arial"/>
          <w:color w:val="000000"/>
          <w:sz w:val="24"/>
          <w:szCs w:val="24"/>
        </w:rPr>
        <w:t xml:space="preserve"> identifies key pieces of infrastructure needed to achieve the objectives and policies in the Core Strategy, and identifies broad locations where the infrastructure will be located. The IDP is a 'live' document and will be periodically reviewed and updated as infrastructure providers assess their investment plans.  The previous Infrastructure Delivery Plan was completed in August 2011 and can be found </w:t>
      </w:r>
      <w:hyperlink r:id="rId25" w:history="1">
        <w:r w:rsidRPr="00D1526C">
          <w:rPr>
            <w:rFonts w:eastAsia="Times New Roman" w:cs="Arial"/>
            <w:b/>
            <w:bCs/>
            <w:color w:val="355C7D"/>
            <w:sz w:val="24"/>
            <w:szCs w:val="24"/>
            <w:u w:val="single"/>
          </w:rPr>
          <w:t>here</w:t>
        </w:r>
      </w:hyperlink>
      <w:r w:rsidRPr="00D1526C">
        <w:rPr>
          <w:rFonts w:eastAsia="Times New Roman" w:cs="Arial"/>
          <w:color w:val="000000"/>
          <w:sz w:val="24"/>
          <w:szCs w:val="24"/>
        </w:rPr>
        <w:t>.</w:t>
      </w:r>
    </w:p>
    <w:p w:rsidR="00D1526C" w:rsidRPr="00D1526C" w:rsidRDefault="00D1526C" w:rsidP="00D1526C">
      <w:pPr>
        <w:numPr>
          <w:ilvl w:val="0"/>
          <w:numId w:val="1"/>
        </w:numPr>
        <w:spacing w:after="0" w:line="240" w:lineRule="auto"/>
        <w:contextualSpacing/>
        <w:rPr>
          <w:sz w:val="24"/>
          <w:szCs w:val="24"/>
        </w:rPr>
      </w:pPr>
      <w:r w:rsidRPr="00D1526C">
        <w:rPr>
          <w:rFonts w:eastAsia="Times New Roman" w:cs="Arial"/>
          <w:color w:val="000000"/>
          <w:sz w:val="24"/>
          <w:szCs w:val="24"/>
        </w:rPr>
        <w:t xml:space="preserve">The Rother, Brede and </w:t>
      </w:r>
      <w:proofErr w:type="spellStart"/>
      <w:r w:rsidRPr="00D1526C">
        <w:rPr>
          <w:rFonts w:eastAsia="Times New Roman" w:cs="Arial"/>
          <w:color w:val="000000"/>
          <w:sz w:val="24"/>
          <w:szCs w:val="24"/>
        </w:rPr>
        <w:t>Tillingham</w:t>
      </w:r>
      <w:proofErr w:type="spellEnd"/>
      <w:r w:rsidRPr="00D1526C">
        <w:rPr>
          <w:rFonts w:eastAsia="Times New Roman" w:cs="Arial"/>
          <w:color w:val="000000"/>
          <w:sz w:val="24"/>
          <w:szCs w:val="24"/>
        </w:rPr>
        <w:t xml:space="preserve"> Woods Biodiversity Opportunity Area.  </w:t>
      </w:r>
    </w:p>
    <w:p w:rsidR="00D1526C" w:rsidRPr="00D1526C" w:rsidRDefault="00D1526C" w:rsidP="00D1526C">
      <w:pPr>
        <w:numPr>
          <w:ilvl w:val="0"/>
          <w:numId w:val="1"/>
        </w:numPr>
        <w:spacing w:after="0" w:line="240" w:lineRule="auto"/>
        <w:contextualSpacing/>
        <w:rPr>
          <w:sz w:val="24"/>
          <w:szCs w:val="24"/>
        </w:rPr>
      </w:pPr>
      <w:r w:rsidRPr="00D1526C">
        <w:rPr>
          <w:rFonts w:eastAsia="Times New Roman" w:cs="Arial"/>
          <w:color w:val="000000"/>
          <w:sz w:val="24"/>
          <w:szCs w:val="24"/>
        </w:rPr>
        <w:t>Rother document – Conservation Area Appraisal: Robertsbridge and Northbridge Street</w:t>
      </w:r>
    </w:p>
    <w:p w:rsidR="00D1526C" w:rsidRPr="00D1526C" w:rsidRDefault="00EC7AD7" w:rsidP="00D1526C">
      <w:pPr>
        <w:numPr>
          <w:ilvl w:val="0"/>
          <w:numId w:val="1"/>
        </w:numPr>
        <w:spacing w:after="0" w:line="240" w:lineRule="auto"/>
        <w:contextualSpacing/>
        <w:rPr>
          <w:sz w:val="24"/>
          <w:szCs w:val="24"/>
        </w:rPr>
      </w:pPr>
      <w:hyperlink r:id="rId26" w:history="1">
        <w:r w:rsidR="00B957A1">
          <w:rPr>
            <w:rStyle w:val="Hyperlink"/>
          </w:rPr>
          <w:t xml:space="preserve">Survey Ancient  Woodland by Weald  and Downs  Ancient Woodland Survey  for RDC  2010 </w:t>
        </w:r>
      </w:hyperlink>
    </w:p>
    <w:p w:rsidR="00D1526C" w:rsidRPr="00D1526C" w:rsidRDefault="00EC7AD7" w:rsidP="00D1526C">
      <w:pPr>
        <w:numPr>
          <w:ilvl w:val="0"/>
          <w:numId w:val="1"/>
        </w:numPr>
        <w:spacing w:after="0" w:line="240" w:lineRule="auto"/>
        <w:contextualSpacing/>
        <w:rPr>
          <w:sz w:val="24"/>
          <w:szCs w:val="24"/>
        </w:rPr>
      </w:pPr>
      <w:hyperlink r:id="rId27" w:history="1">
        <w:r w:rsidR="00B957A1">
          <w:rPr>
            <w:rStyle w:val="Hyperlink"/>
          </w:rPr>
          <w:t>High Weald  AONB Management Plan  2014</w:t>
        </w:r>
      </w:hyperlink>
    </w:p>
    <w:p w:rsidR="005C5E2E" w:rsidRDefault="00EC7AD7" w:rsidP="005C5E2E">
      <w:pPr>
        <w:pStyle w:val="ListParagraph"/>
        <w:numPr>
          <w:ilvl w:val="0"/>
          <w:numId w:val="1"/>
        </w:numPr>
      </w:pPr>
      <w:hyperlink r:id="rId28" w:history="1">
        <w:r w:rsidR="005C5E2E">
          <w:rPr>
            <w:rStyle w:val="Hyperlink"/>
          </w:rPr>
          <w:t xml:space="preserve">Pride of Place </w:t>
        </w:r>
      </w:hyperlink>
      <w:r w:rsidR="005C5E2E" w:rsidRPr="005C5E2E">
        <w:rPr>
          <w:rFonts w:eastAsia="Times New Roman" w:cs="Arial"/>
          <w:color w:val="000000"/>
          <w:sz w:val="24"/>
          <w:szCs w:val="24"/>
        </w:rPr>
        <w:t>– a sustainable community strategy  for  East Sussex – 2008 (this was the catalyst  for local action plans</w:t>
      </w:r>
    </w:p>
    <w:p w:rsidR="005C5E2E" w:rsidRPr="00D1526C" w:rsidRDefault="005C5E2E" w:rsidP="005C5E2E">
      <w:pPr>
        <w:numPr>
          <w:ilvl w:val="0"/>
          <w:numId w:val="1"/>
        </w:numPr>
        <w:spacing w:after="0" w:line="240" w:lineRule="auto"/>
        <w:contextualSpacing/>
        <w:rPr>
          <w:sz w:val="24"/>
          <w:szCs w:val="24"/>
        </w:rPr>
      </w:pPr>
      <w:r w:rsidRPr="00D1526C">
        <w:rPr>
          <w:rFonts w:eastAsia="Times New Roman" w:cs="Arial"/>
          <w:color w:val="000000"/>
          <w:sz w:val="24"/>
          <w:szCs w:val="24"/>
        </w:rPr>
        <w:t xml:space="preserve">S &amp; R parish  profile  by  </w:t>
      </w:r>
      <w:proofErr w:type="spellStart"/>
      <w:r w:rsidRPr="00D1526C">
        <w:rPr>
          <w:rFonts w:eastAsia="Times New Roman" w:cs="Arial"/>
          <w:color w:val="000000"/>
          <w:sz w:val="24"/>
          <w:szCs w:val="24"/>
        </w:rPr>
        <w:t>AiRS</w:t>
      </w:r>
      <w:proofErr w:type="spellEnd"/>
      <w:r w:rsidRPr="00D1526C">
        <w:rPr>
          <w:rFonts w:eastAsia="Times New Roman" w:cs="Arial"/>
          <w:color w:val="000000"/>
          <w:sz w:val="24"/>
          <w:szCs w:val="24"/>
        </w:rPr>
        <w:t xml:space="preserve"> 2011</w:t>
      </w:r>
    </w:p>
    <w:p w:rsidR="005C5E2E" w:rsidRPr="00D1526C" w:rsidRDefault="005C5E2E" w:rsidP="005C5E2E">
      <w:pPr>
        <w:numPr>
          <w:ilvl w:val="0"/>
          <w:numId w:val="1"/>
        </w:numPr>
        <w:spacing w:after="0" w:line="240" w:lineRule="auto"/>
        <w:contextualSpacing/>
        <w:rPr>
          <w:sz w:val="24"/>
          <w:szCs w:val="24"/>
        </w:rPr>
      </w:pPr>
      <w:r w:rsidRPr="00D1526C">
        <w:rPr>
          <w:rFonts w:eastAsia="Times New Roman" w:cs="Arial"/>
          <w:color w:val="000000"/>
          <w:sz w:val="24"/>
          <w:szCs w:val="24"/>
        </w:rPr>
        <w:t>ESCC info re  S &amp; R older people's housing needs  survey report 2012</w:t>
      </w:r>
    </w:p>
    <w:p w:rsidR="00B957A1" w:rsidRDefault="00B957A1" w:rsidP="00B957A1">
      <w:pPr>
        <w:spacing w:after="0"/>
      </w:pPr>
    </w:p>
    <w:p w:rsidR="00B957A1" w:rsidRDefault="00B957A1" w:rsidP="00B957A1"/>
    <w:p w:rsidR="00B957A1" w:rsidRDefault="00B957A1" w:rsidP="00B957A1">
      <w:pPr>
        <w:spacing w:after="0"/>
      </w:pPr>
    </w:p>
    <w:p w:rsidR="00D1526C" w:rsidRPr="00D1526C" w:rsidRDefault="00D1526C" w:rsidP="00D1526C">
      <w:pPr>
        <w:spacing w:after="0" w:line="240" w:lineRule="auto"/>
      </w:pPr>
    </w:p>
    <w:p w:rsidR="00D1526C" w:rsidRPr="00D1526C" w:rsidRDefault="00D1526C" w:rsidP="00D1526C">
      <w:pPr>
        <w:spacing w:after="0" w:line="240" w:lineRule="auto"/>
      </w:pPr>
    </w:p>
    <w:p w:rsidR="00D1526C" w:rsidRPr="00D1526C" w:rsidRDefault="00D1526C" w:rsidP="00D1526C">
      <w:pPr>
        <w:spacing w:after="0" w:line="240" w:lineRule="auto"/>
      </w:pPr>
    </w:p>
    <w:p w:rsidR="00D646BB" w:rsidRPr="00D1526C" w:rsidRDefault="00D646BB" w:rsidP="00D1526C"/>
    <w:sectPr w:rsidR="00D646BB" w:rsidRPr="00D1526C" w:rsidSect="00D646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791437"/>
    <w:multiLevelType w:val="hybridMultilevel"/>
    <w:tmpl w:val="5F0CA4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1526C"/>
    <w:rsid w:val="005C5E2E"/>
    <w:rsid w:val="007946C6"/>
    <w:rsid w:val="00B957A1"/>
    <w:rsid w:val="00D1526C"/>
    <w:rsid w:val="00D646BB"/>
    <w:rsid w:val="00EC7AD7"/>
    <w:rsid w:val="00FC13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6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2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26C"/>
    <w:rPr>
      <w:rFonts w:ascii="Tahoma" w:hAnsi="Tahoma" w:cs="Tahoma"/>
      <w:sz w:val="16"/>
      <w:szCs w:val="16"/>
    </w:rPr>
  </w:style>
  <w:style w:type="character" w:styleId="Hyperlink">
    <w:name w:val="Hyperlink"/>
    <w:basedOn w:val="DefaultParagraphFont"/>
    <w:uiPriority w:val="99"/>
    <w:unhideWhenUsed/>
    <w:rsid w:val="00B957A1"/>
    <w:rPr>
      <w:color w:val="0000FF" w:themeColor="hyperlink"/>
      <w:u w:val="single"/>
    </w:rPr>
  </w:style>
  <w:style w:type="character" w:styleId="FollowedHyperlink">
    <w:name w:val="FollowedHyperlink"/>
    <w:basedOn w:val="DefaultParagraphFont"/>
    <w:uiPriority w:val="99"/>
    <w:semiHidden/>
    <w:unhideWhenUsed/>
    <w:rsid w:val="00B957A1"/>
    <w:rPr>
      <w:color w:val="800080" w:themeColor="followedHyperlink"/>
      <w:u w:val="single"/>
    </w:rPr>
  </w:style>
  <w:style w:type="paragraph" w:styleId="ListParagraph">
    <w:name w:val="List Paragraph"/>
    <w:basedOn w:val="Normal"/>
    <w:uiPriority w:val="34"/>
    <w:qFormat/>
    <w:rsid w:val="005C5E2E"/>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other.gov.uk/media/pdf/m/5/Final_Affordable_Housing_Background_Paper.pdf" TargetMode="External"/><Relationship Id="rId13" Type="http://schemas.openxmlformats.org/officeDocument/2006/relationships/hyperlink" Target="http://www.rother.gov.uk/media/pdf/a/b/EMPLOYMENT_LAND_SUPPLY_AND_TRAJECTORY_APRIL_2012.pdf" TargetMode="External"/><Relationship Id="rId18" Type="http://schemas.openxmlformats.org/officeDocument/2006/relationships/hyperlink" Target="http://www.rother.gov.uk/CHttpHandler.ashx?id=14911&amp;p=0" TargetMode="External"/><Relationship Id="rId26" Type="http://schemas.openxmlformats.org/officeDocument/2006/relationships/hyperlink" Target="http://www.rother.gov.uk/CHttpHandler.ashx?id=12578&amp;p=0" TargetMode="External"/><Relationship Id="rId3" Type="http://schemas.openxmlformats.org/officeDocument/2006/relationships/settings" Target="settings.xml"/><Relationship Id="rId21" Type="http://schemas.openxmlformats.org/officeDocument/2006/relationships/hyperlink" Target="http://www.rother.gov.uk/index.cfm?articleid=7240" TargetMode="External"/><Relationship Id="rId7" Type="http://schemas.openxmlformats.org/officeDocument/2006/relationships/hyperlink" Target="http://www.rother.gov.uk/index.cfm?articleid=5011" TargetMode="External"/><Relationship Id="rId12" Type="http://schemas.openxmlformats.org/officeDocument/2006/relationships/hyperlink" Target="http://www.rother.gov.uk/media/pdf/b/t/Hastings_and_Rother_Employment_Strategy_Review_Update.pdf" TargetMode="External"/><Relationship Id="rId17" Type="http://schemas.openxmlformats.org/officeDocument/2006/relationships/image" Target="media/image1.gif"/><Relationship Id="rId25" Type="http://schemas.openxmlformats.org/officeDocument/2006/relationships/hyperlink" Target="http://www.rother.gov.uk/media/pdf/q/m/Infrastructure_Delivery_Plan.pdf" TargetMode="External"/><Relationship Id="rId2" Type="http://schemas.openxmlformats.org/officeDocument/2006/relationships/styles" Target="styles.xml"/><Relationship Id="rId16" Type="http://schemas.openxmlformats.org/officeDocument/2006/relationships/hyperlink" Target="http://www.rother.gov.uk/leisurefacilitiesstrategy" TargetMode="External"/><Relationship Id="rId20" Type="http://schemas.openxmlformats.org/officeDocument/2006/relationships/hyperlink" Target="http://www.rother.gov.uk/index.cfm?articleid=652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other.gov.uk/media/pdf/q/a/Rother_in_Profile.pdf" TargetMode="External"/><Relationship Id="rId11" Type="http://schemas.openxmlformats.org/officeDocument/2006/relationships/hyperlink" Target="http://www.rother.gov.uk/index.cfm?articleid=5012" TargetMode="External"/><Relationship Id="rId24" Type="http://schemas.openxmlformats.org/officeDocument/2006/relationships/hyperlink" Target="http://icm.rother.gov.uk/media/pdf/g/2/Updated_Infrastructure_Delivery_Plan_(IDP).pdf?CFID=f95b4cc8-ac47-486d-a67e-f46c3cfb1f92&amp;CFTOKEN=0" TargetMode="External"/><Relationship Id="rId5" Type="http://schemas.openxmlformats.org/officeDocument/2006/relationships/hyperlink" Target="http://www.rother.gov.uk/corestrategy" TargetMode="External"/><Relationship Id="rId15" Type="http://schemas.openxmlformats.org/officeDocument/2006/relationships/hyperlink" Target="http://www.rother.gov.uk/openspaces" TargetMode="External"/><Relationship Id="rId23" Type="http://schemas.openxmlformats.org/officeDocument/2006/relationships/hyperlink" Target="http://www.eastsussex.gov.uk/NR/rdonlyres/47E78405-8C95-460E-ACB7-A2EE28BE4810/36322/cab040314item7wpp.pdf" TargetMode="External"/><Relationship Id="rId28" Type="http://schemas.openxmlformats.org/officeDocument/2006/relationships/hyperlink" Target="http://www.essp.org.uk/What-we-do/Pride-of-Place.aspx" TargetMode="External"/><Relationship Id="rId10" Type="http://schemas.openxmlformats.org/officeDocument/2006/relationships/hyperlink" Target="http://www.rother.gov.uk/index.cfm?articleid=6434" TargetMode="External"/><Relationship Id="rId19" Type="http://schemas.openxmlformats.org/officeDocument/2006/relationships/hyperlink" Target="http://www.rother.gov.uk/article/8829/Habitat-Regulations-Assessment-HRA" TargetMode="External"/><Relationship Id="rId4" Type="http://schemas.openxmlformats.org/officeDocument/2006/relationships/webSettings" Target="webSettings.xml"/><Relationship Id="rId9" Type="http://schemas.openxmlformats.org/officeDocument/2006/relationships/hyperlink" Target="http://www.rother.gov.uk/index.cfm?articleid=432" TargetMode="External"/><Relationship Id="rId14" Type="http://schemas.openxmlformats.org/officeDocument/2006/relationships/hyperlink" Target="http://www.rother.gov.uk/CHttpHandler.ashx?id=20273&amp;p=0" TargetMode="External"/><Relationship Id="rId22" Type="http://schemas.openxmlformats.org/officeDocument/2006/relationships/hyperlink" Target="http://www.rother.gov.uk/index.cfm?articleid=4900" TargetMode="External"/><Relationship Id="rId27" Type="http://schemas.openxmlformats.org/officeDocument/2006/relationships/hyperlink" Target="http://www.highweald.org/downloads/publications/high-weald-aonb-management-plan-documents/1475-high-weald-management-plan-3rd-edition-2014-2019/file.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admin@inattec.com</dc:creator>
  <cp:lastModifiedBy>admin@inattec.com</cp:lastModifiedBy>
  <cp:revision>2</cp:revision>
  <dcterms:created xsi:type="dcterms:W3CDTF">2016-09-26T02:38:00Z</dcterms:created>
  <dcterms:modified xsi:type="dcterms:W3CDTF">2016-09-29T23:20:00Z</dcterms:modified>
</cp:coreProperties>
</file>